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line="580" w:lineRule="exact"/>
        <w:ind w:firstLine="643" w:firstLineChars="200"/>
        <w:jc w:val="both"/>
        <w:rPr>
          <w:rStyle w:val="6"/>
          <w:rFonts w:ascii="仿宋_GB2312" w:eastAsia="仿宋_GB2312"/>
          <w:color w:val="333333"/>
          <w:sz w:val="32"/>
          <w:szCs w:val="32"/>
        </w:rPr>
      </w:pPr>
    </w:p>
    <w:p>
      <w:pPr>
        <w:pStyle w:val="4"/>
        <w:spacing w:before="0" w:beforeAutospacing="0" w:after="0" w:afterAutospacing="0" w:line="580" w:lineRule="exact"/>
        <w:ind w:firstLine="643" w:firstLineChars="200"/>
        <w:jc w:val="both"/>
        <w:rPr>
          <w:rStyle w:val="6"/>
          <w:rFonts w:ascii="仿宋_GB2312" w:eastAsia="仿宋_GB2312"/>
          <w:color w:val="333333"/>
          <w:sz w:val="32"/>
          <w:szCs w:val="32"/>
        </w:rPr>
      </w:pPr>
      <w:bookmarkStart w:id="0" w:name="_GoBack"/>
      <w:bookmarkEnd w:id="0"/>
    </w:p>
    <w:p>
      <w:pPr>
        <w:pStyle w:val="4"/>
        <w:spacing w:before="0" w:beforeAutospacing="0" w:after="0" w:afterAutospacing="0" w:line="580" w:lineRule="exact"/>
        <w:jc w:val="center"/>
        <w:rPr>
          <w:rFonts w:ascii="方正小标宋简体" w:eastAsia="方正小标宋简体"/>
          <w:b/>
          <w:color w:val="333333"/>
          <w:sz w:val="44"/>
          <w:szCs w:val="32"/>
        </w:rPr>
      </w:pPr>
      <w:r>
        <w:rPr>
          <w:rStyle w:val="6"/>
          <w:rFonts w:hint="eastAsia" w:ascii="方正小标宋简体" w:eastAsia="方正小标宋简体"/>
          <w:b w:val="0"/>
          <w:color w:val="333333"/>
          <w:sz w:val="44"/>
          <w:szCs w:val="32"/>
        </w:rPr>
        <w:t>山东省新旧动能转换基金激励办法</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　　</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为有效吸引金融机构、社会资本和国内外优秀投资机构参与山东省新旧动能转换基金设立工作，根据国家有关法律法规规定，结合山东实际，制定本办法。</w:t>
      </w:r>
    </w:p>
    <w:p>
      <w:pPr>
        <w:pStyle w:val="4"/>
        <w:spacing w:before="0" w:beforeAutospacing="0" w:after="0" w:afterAutospacing="0" w:line="580" w:lineRule="exact"/>
        <w:ind w:firstLine="640" w:firstLineChars="200"/>
        <w:jc w:val="both"/>
        <w:rPr>
          <w:rFonts w:ascii="黑体" w:hAnsi="黑体" w:eastAsia="黑体"/>
          <w:b/>
          <w:color w:val="333333"/>
          <w:sz w:val="32"/>
          <w:szCs w:val="32"/>
        </w:rPr>
      </w:pPr>
      <w:r>
        <w:rPr>
          <w:rStyle w:val="6"/>
          <w:rFonts w:hint="eastAsia" w:ascii="黑体" w:hAnsi="黑体" w:eastAsia="黑体"/>
          <w:b w:val="0"/>
          <w:color w:val="333333"/>
          <w:sz w:val="32"/>
          <w:szCs w:val="32"/>
        </w:rPr>
        <w:t>一、适用范围</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按照国家有关法律法规规定，以公司制、合伙制、契约制等形式在山东省境内新设(迁入)，纳入全省新旧动能转换基金管理，并在中国证券投资基金业协会完成备案(登记)的基金及其管理机构。</w:t>
      </w:r>
    </w:p>
    <w:p>
      <w:pPr>
        <w:pStyle w:val="4"/>
        <w:spacing w:before="0" w:beforeAutospacing="0" w:after="0" w:afterAutospacing="0" w:line="580" w:lineRule="exact"/>
        <w:ind w:firstLine="640" w:firstLineChars="200"/>
        <w:jc w:val="both"/>
        <w:rPr>
          <w:rFonts w:ascii="黑体" w:hAnsi="黑体" w:eastAsia="黑体"/>
          <w:b/>
          <w:color w:val="333333"/>
          <w:sz w:val="32"/>
          <w:szCs w:val="32"/>
        </w:rPr>
      </w:pPr>
      <w:r>
        <w:rPr>
          <w:rStyle w:val="6"/>
          <w:rFonts w:hint="eastAsia" w:ascii="黑体" w:hAnsi="黑体" w:eastAsia="黑体"/>
          <w:b w:val="0"/>
          <w:color w:val="333333"/>
          <w:sz w:val="32"/>
          <w:szCs w:val="32"/>
        </w:rPr>
        <w:t>二、税收优惠政策</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严格落实《中华人民共和国企业所得税法》《中华人民共和国个人所得税法》等国家税法，认真执行财政部、国家税务总局出台的各项税收优惠政策。</w:t>
      </w:r>
    </w:p>
    <w:p>
      <w:pPr>
        <w:pStyle w:val="4"/>
        <w:spacing w:before="0" w:beforeAutospacing="0" w:after="0" w:afterAutospacing="0" w:line="580" w:lineRule="exact"/>
        <w:ind w:firstLine="640" w:firstLineChars="200"/>
        <w:jc w:val="both"/>
        <w:rPr>
          <w:rFonts w:ascii="楷体_GB2312" w:eastAsia="楷体_GB2312"/>
          <w:color w:val="333333"/>
          <w:sz w:val="32"/>
          <w:szCs w:val="32"/>
        </w:rPr>
      </w:pPr>
      <w:r>
        <w:rPr>
          <w:rFonts w:hint="eastAsia" w:ascii="楷体_GB2312" w:eastAsia="楷体_GB2312"/>
          <w:color w:val="333333"/>
          <w:sz w:val="32"/>
          <w:szCs w:val="32"/>
        </w:rPr>
        <w:t>(一)企业所得税。</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1.合伙制股权投资类企业不作为企业所得税纳税主体，可采取“先分后税”的原则，由每一个合伙人作为纳税义务人分别纳税。　　</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2.符合条件的居民企业之间的股息、红利等权益性投资收益为免税收入，免征企业所得税。　　</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3.股权投资类企业对外进行权益类投资所发生的损失，符合税法规定的，在经确认的损失发生年度，作为企业损失在计算企业应纳税所得额时一次性扣除。</w:t>
      </w:r>
    </w:p>
    <w:p>
      <w:pPr>
        <w:pStyle w:val="4"/>
        <w:spacing w:before="0" w:beforeAutospacing="0" w:after="0" w:afterAutospacing="0" w:line="580" w:lineRule="exact"/>
        <w:ind w:firstLine="640" w:firstLineChars="200"/>
        <w:jc w:val="both"/>
        <w:rPr>
          <w:rFonts w:ascii="楷体_GB2312" w:eastAsia="楷体_GB2312"/>
          <w:color w:val="333333"/>
          <w:sz w:val="32"/>
          <w:szCs w:val="32"/>
        </w:rPr>
      </w:pPr>
      <w:r>
        <w:rPr>
          <w:rFonts w:hint="eastAsia" w:ascii="楷体_GB2312" w:eastAsia="楷体_GB2312"/>
          <w:color w:val="333333"/>
          <w:sz w:val="32"/>
          <w:szCs w:val="32"/>
        </w:rPr>
        <w:t>(二)个人所得税。</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4.合伙企业自然人的生产经营所得，比照个人所得税法的“个体工商户的生产经营所得”应税项目，适用5%-35%的五级超额累进税率，计算征收个人所得税。</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5.合伙企业对外投资分回的利息或股息、红利所得，不并入企业收入，而应单独作为投资者个人取得的利息、股息、红利所得，按“利息、股息、红利所得”应税项目计算缴纳个人所得税。</w:t>
      </w:r>
    </w:p>
    <w:p>
      <w:pPr>
        <w:pStyle w:val="4"/>
        <w:spacing w:before="0" w:beforeAutospacing="0" w:after="0" w:afterAutospacing="0" w:line="580" w:lineRule="exact"/>
        <w:ind w:firstLine="640" w:firstLineChars="200"/>
        <w:jc w:val="both"/>
        <w:rPr>
          <w:rFonts w:ascii="楷体_GB2312" w:eastAsia="楷体_GB2312"/>
          <w:color w:val="333333"/>
          <w:sz w:val="32"/>
          <w:szCs w:val="32"/>
        </w:rPr>
      </w:pPr>
      <w:r>
        <w:rPr>
          <w:rFonts w:hint="eastAsia" w:ascii="楷体_GB2312" w:eastAsia="楷体_GB2312"/>
          <w:color w:val="333333"/>
          <w:sz w:val="32"/>
          <w:szCs w:val="32"/>
        </w:rPr>
        <w:t>(三)其他税收。</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6.创业投资企业采取股权投资方式投资于未上市的中小高新技术企业2年以上，凡符合《国家税务总局关于实施创业投资企业所得税优惠问题的通知》(国税发〔2009〕87号)规定条件的，可按其对中小高新技术企业投资额的70%，在股权持有满2年的当年抵扣该创业投资类企业的应纳税所得额；当年不足抵扣的，可结转至以后纳税年度抵扣。</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7.根据《财政部、国家税务总局关于将国家自主创新示范区有关税收试点政策推广到全国范围实施的通知》(财税〔2015〕116号)有关规定，有限合伙制创业投资企业采取股权投资方式投资于未上市的中小高新技术企业满2年的，其法人合伙人可按照对未上市中小高新技术企业投资额的70%抵扣该法人合伙人从该有限合伙制创业投资企业分得的应纳税所得额，当年不足抵扣的，可在以后纳税年度结转抵扣。</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8.股权投资类企业缴纳房产税、城镇土地使用税确有困难并符合国家规定减免条件的，按国家规定程序报批后，可给予减免。</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9.基金企业可享受国务院批准的山东新旧动能转换综合试验区各项税收优惠政策。</w:t>
      </w:r>
    </w:p>
    <w:p>
      <w:pPr>
        <w:pStyle w:val="4"/>
        <w:spacing w:before="0" w:beforeAutospacing="0" w:after="0" w:afterAutospacing="0" w:line="580" w:lineRule="exact"/>
        <w:ind w:firstLine="640" w:firstLineChars="200"/>
        <w:jc w:val="both"/>
        <w:rPr>
          <w:rFonts w:ascii="黑体" w:hAnsi="黑体" w:eastAsia="黑体"/>
          <w:b/>
          <w:color w:val="333333"/>
          <w:sz w:val="32"/>
          <w:szCs w:val="32"/>
        </w:rPr>
      </w:pPr>
      <w:r>
        <w:rPr>
          <w:rStyle w:val="6"/>
          <w:rFonts w:hint="eastAsia" w:ascii="黑体" w:hAnsi="黑体" w:eastAsia="黑体"/>
          <w:b w:val="0"/>
          <w:color w:val="333333"/>
          <w:sz w:val="32"/>
          <w:szCs w:val="32"/>
        </w:rPr>
        <w:t>三、引导基金让利政策</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10.根据基金类型和投资方向、投资阶段，采取差异化政策，引导基金增值收益可部分或全部让渡给其他出资人或基金管理机构。经山东省新旧动能转换基金决策委员会(以下简称基金决策委员会)批准，基金投资于新旧动能转换重大项目库项目，或省内种子期、初创期的科技型、创新型项目的，引导基金可让渡全部增值收益；投资于基础设施和成熟期产业项目的，原则上实行同股同权，经基金决策委员会批准，也可将章程(协议或合同)约定的门槛收益率以上部分，适当让渡给其他出资人或基金管理机构。通过引导基金让利，鼓励基金加大山东省内投资比例，最多可让渡引导基金全部增值收益。</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11.在母基金存续期内，鼓励基金出资人或其他投资者购买引导基金所持基金的股权或份额。在母基金注册之日起2年内(含2年)购买的，以引导基金原始出资额转让；2年以上、3年以内(含3年)购买的，以引导基金原始出资额及从第2年起按照转让时中国人民银行公布的1年期贷款基准利率计算的利息之和转让。</w:t>
      </w:r>
    </w:p>
    <w:p>
      <w:pPr>
        <w:pStyle w:val="4"/>
        <w:spacing w:before="0" w:beforeAutospacing="0" w:after="0" w:afterAutospacing="0" w:line="580" w:lineRule="exact"/>
        <w:ind w:firstLine="640" w:firstLineChars="200"/>
        <w:jc w:val="both"/>
        <w:rPr>
          <w:rFonts w:ascii="黑体" w:hAnsi="黑体" w:eastAsia="黑体"/>
          <w:b/>
          <w:color w:val="333333"/>
          <w:sz w:val="32"/>
          <w:szCs w:val="32"/>
        </w:rPr>
      </w:pPr>
      <w:r>
        <w:rPr>
          <w:rStyle w:val="6"/>
          <w:rFonts w:hint="eastAsia" w:ascii="黑体" w:hAnsi="黑体" w:eastAsia="黑体"/>
          <w:b w:val="0"/>
          <w:color w:val="333333"/>
          <w:sz w:val="32"/>
          <w:szCs w:val="32"/>
        </w:rPr>
        <w:t>四、财政扶持政策</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12.落户奖励。在山东省境内新设或者迁入且承诺5年内不迁离山东的基金，可根据基金规模、基金类型等，按不超过基金实缴规模(基金实缴金额扣除省级及以下政府引导基金份额)的一定比例给予落户奖励。落户奖励比例由基金注册所在县(市、区)确定，奖励资金由基金注册所在县(市、区)负担。</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13.绩效奖励。基金决策委员会办公室每年委托专业机构对基金管理情况进行绩效评价，对投资运作快、投资效益好的基金管理机构和团队，根据绩效评价结果给予奖励。</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14.贴息补助。经省委、省政府批准，金融机构投资于山东省境内重大战略性项目，省财政可按银行实际贷款利率的一定比例给予财政贴息。</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15.专项资金扶持。对基金投资的具体企业项目，在申报省级及以下各级专项资金时，同等情况下优先予以支持；申请国家专项资金支持时，同等情况下优先申报，省财政厅等相关部门积极予以协助。</w:t>
      </w:r>
    </w:p>
    <w:p>
      <w:pPr>
        <w:pStyle w:val="4"/>
        <w:spacing w:before="0" w:beforeAutospacing="0" w:after="0" w:afterAutospacing="0" w:line="580" w:lineRule="exact"/>
        <w:ind w:firstLine="640" w:firstLineChars="200"/>
        <w:jc w:val="both"/>
        <w:rPr>
          <w:rFonts w:ascii="黑体" w:hAnsi="黑体" w:eastAsia="黑体"/>
          <w:b/>
          <w:color w:val="333333"/>
          <w:sz w:val="32"/>
          <w:szCs w:val="32"/>
        </w:rPr>
      </w:pPr>
      <w:r>
        <w:rPr>
          <w:rStyle w:val="6"/>
          <w:rFonts w:hint="eastAsia" w:ascii="黑体" w:hAnsi="黑体" w:eastAsia="黑体"/>
          <w:b w:val="0"/>
          <w:color w:val="333333"/>
          <w:sz w:val="32"/>
          <w:szCs w:val="32"/>
        </w:rPr>
        <w:t>五、资源开放政策</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16.优先向新旧动能转换基金推介优质项目资源，为基金投资创造良好条件。鼓励实体企业参与基金出资，支持“投、贷、建”联动，在同等条件下优先向其开放项目资源。　　</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17.对出资参与山东省新旧动能转换基金，同时参与山东重大项目和重要基础设施建设的国有企业、民营企业、外商投资企业、境外投资机构等，同等条件下向其优先开放市场准入和项目资源。　　</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18.充分发挥政府资金引导作用，对于积极参与山东省新旧动能转换重大工程表现突出的市场化私募基金，可给予增资增信支持。对山东省新旧动能转换基金投资的企业，优先纳入省级上市挂牌后备资源。</w:t>
      </w:r>
    </w:p>
    <w:p>
      <w:pPr>
        <w:pStyle w:val="4"/>
        <w:spacing w:before="0" w:beforeAutospacing="0" w:after="0" w:afterAutospacing="0" w:line="580" w:lineRule="exact"/>
        <w:ind w:firstLine="640" w:firstLineChars="200"/>
        <w:jc w:val="both"/>
        <w:rPr>
          <w:rFonts w:ascii="黑体" w:hAnsi="黑体" w:eastAsia="黑体"/>
          <w:b/>
          <w:color w:val="333333"/>
          <w:sz w:val="32"/>
          <w:szCs w:val="32"/>
        </w:rPr>
      </w:pPr>
      <w:r>
        <w:rPr>
          <w:rStyle w:val="6"/>
          <w:rFonts w:hint="eastAsia" w:ascii="黑体" w:hAnsi="黑体" w:eastAsia="黑体"/>
          <w:b w:val="0"/>
          <w:color w:val="333333"/>
          <w:sz w:val="32"/>
          <w:szCs w:val="32"/>
        </w:rPr>
        <w:t>六、人才引进政策</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19.优先推荐基金管理机构的优秀高管人员参加山东省金融高端人才奖励遴选和齐鲁金融之星评选等选拔。成功入选的，按照《山东省人民政府办公厅关于印发〈山东省金融高端人才奖励办法〉〈齐鲁金融之星选拔管理办法〉的通知》(鲁政办字〔2017〕93号)等规定，给予资金奖励、纳入山东省高层次人才库等待遇。</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20.各地对享受人才政策的基金管理机构高管人员，可给予一次性住房补贴、安家费等补助。享受人才政策的基金管理机构高管人员及其配偶和未成年子女，可向基金注册地公安部门申请办理常住户口；其子女就读中小学、幼儿园的，可根据实际情况，由基金注册地教育行政部门协调优先安排入学。</w:t>
      </w:r>
    </w:p>
    <w:p>
      <w:pPr>
        <w:pStyle w:val="4"/>
        <w:spacing w:before="0" w:beforeAutospacing="0" w:after="0" w:afterAutospacing="0" w:line="580" w:lineRule="exact"/>
        <w:ind w:firstLine="640" w:firstLineChars="200"/>
        <w:jc w:val="both"/>
        <w:rPr>
          <w:rFonts w:ascii="黑体" w:hAnsi="黑体" w:eastAsia="黑体"/>
          <w:b/>
          <w:color w:val="333333"/>
          <w:sz w:val="32"/>
          <w:szCs w:val="32"/>
        </w:rPr>
      </w:pPr>
      <w:r>
        <w:rPr>
          <w:rStyle w:val="6"/>
          <w:rFonts w:hint="eastAsia" w:ascii="黑体" w:hAnsi="黑体" w:eastAsia="黑体"/>
          <w:b w:val="0"/>
          <w:color w:val="333333"/>
          <w:sz w:val="32"/>
          <w:szCs w:val="32"/>
        </w:rPr>
        <w:t>七、附则</w:t>
      </w:r>
    </w:p>
    <w:p>
      <w:pPr>
        <w:pStyle w:val="4"/>
        <w:spacing w:before="0" w:beforeAutospacing="0" w:after="0" w:afterAutospacing="0" w:line="580" w:lineRule="exact"/>
        <w:ind w:firstLine="640" w:firstLineChars="200"/>
        <w:jc w:val="both"/>
        <w:rPr>
          <w:rFonts w:ascii="仿宋_GB2312" w:eastAsia="仿宋_GB2312"/>
          <w:color w:val="333333"/>
          <w:sz w:val="32"/>
          <w:szCs w:val="32"/>
        </w:rPr>
      </w:pPr>
      <w:r>
        <w:rPr>
          <w:rFonts w:hint="eastAsia" w:ascii="仿宋_GB2312" w:eastAsia="仿宋_GB2312"/>
          <w:color w:val="333333"/>
          <w:sz w:val="32"/>
          <w:szCs w:val="32"/>
        </w:rPr>
        <w:t>21.本办法自2018年1月1日起施行，有效期至2022年12月31日。</w:t>
      </w:r>
    </w:p>
    <w:p>
      <w:pPr>
        <w:spacing w:line="580" w:lineRule="exact"/>
        <w:ind w:firstLine="420" w:firstLineChars="200"/>
      </w:pPr>
    </w:p>
    <w:sectPr>
      <w:footerReference r:id="rId3" w:type="default"/>
      <w:footerReference r:id="rId4" w:type="even"/>
      <w:pgSz w:w="11906" w:h="16838"/>
      <w:pgMar w:top="2098" w:right="1418"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17381"/>
      <w:docPartObj>
        <w:docPartGallery w:val="AutoText"/>
      </w:docPartObj>
    </w:sdtPr>
    <w:sdtContent>
      <w:p>
        <w:pPr>
          <w:pStyle w:val="2"/>
          <w:jc w:val="right"/>
        </w:pP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w:t>
        </w:r>
        <w:r>
          <w:rPr>
            <w:rFonts w:asciiTheme="minorEastAsia" w:hAnsiTheme="minorEastAsia"/>
            <w:sz w:val="28"/>
          </w:rPr>
          <w:t xml:space="preserve"> 1 -</w:t>
        </w:r>
        <w:r>
          <w:rPr>
            <w:rFonts w:asciiTheme="minorEastAsia" w:hAnsiTheme="minorEastAsia"/>
            <w:sz w:val="28"/>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17382"/>
      <w:docPartObj>
        <w:docPartGallery w:val="AutoText"/>
      </w:docPartObj>
    </w:sdtPr>
    <w:sdtContent>
      <w:p>
        <w:pPr>
          <w:pStyle w:val="2"/>
        </w:pP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w:t>
        </w:r>
        <w:r>
          <w:rPr>
            <w:rFonts w:asciiTheme="minorEastAsia" w:hAnsiTheme="minorEastAsia"/>
            <w:sz w:val="28"/>
          </w:rPr>
          <w:t xml:space="preserve"> 2 -</w:t>
        </w:r>
        <w:r>
          <w:rPr>
            <w:rFonts w:asciiTheme="minorEastAsia" w:hAnsiTheme="minorEastAsia"/>
            <w:sz w:val="28"/>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53A0A"/>
    <w:rsid w:val="000C0FE8"/>
    <w:rsid w:val="000F046F"/>
    <w:rsid w:val="00272754"/>
    <w:rsid w:val="003179B1"/>
    <w:rsid w:val="004E7693"/>
    <w:rsid w:val="0072557B"/>
    <w:rsid w:val="00746BF9"/>
    <w:rsid w:val="007D4358"/>
    <w:rsid w:val="008241B5"/>
    <w:rsid w:val="008D311C"/>
    <w:rsid w:val="009A18B4"/>
    <w:rsid w:val="00AA307F"/>
    <w:rsid w:val="00AC033B"/>
    <w:rsid w:val="00C41108"/>
    <w:rsid w:val="00C53A0A"/>
    <w:rsid w:val="00CD5505"/>
    <w:rsid w:val="6F2B6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customStyle="1" w:styleId="8">
    <w:name w:val="页眉 Char"/>
    <w:basedOn w:val="5"/>
    <w:link w:val="3"/>
    <w:semiHidden/>
    <w:qFormat/>
    <w:uiPriority w:val="99"/>
    <w:rPr>
      <w:sz w:val="18"/>
      <w:szCs w:val="18"/>
    </w:rPr>
  </w:style>
  <w:style w:type="character" w:customStyle="1" w:styleId="9">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367</Words>
  <Characters>2097</Characters>
  <Lines>17</Lines>
  <Paragraphs>4</Paragraphs>
  <TotalTime>0</TotalTime>
  <ScaleCrop>false</ScaleCrop>
  <LinksUpToDate>false</LinksUpToDate>
  <CharactersWithSpaces>2460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2018-01-15T02:07:00Z</dcterms:created>
  <dc:creator>Administrator</dc:creator>
  <cp:lastModifiedBy>姚知力</cp:lastModifiedBy>
  <dcterms:modified xsi:type="dcterms:W3CDTF">2018-02-14T00:58:54Z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